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6E20E" w14:textId="0B66AB1A" w:rsidR="00F1068A" w:rsidRDefault="00F1068A" w:rsidP="00F1068A">
      <w:pPr>
        <w:spacing w:after="120"/>
        <w:jc w:val="center"/>
        <w:rPr>
          <w:rFonts w:eastAsia="Calibri"/>
          <w:b/>
          <w:color w:val="000000" w:themeColor="text1"/>
          <w:sz w:val="22"/>
          <w:szCs w:val="22"/>
          <w:lang w:eastAsia="en-US"/>
        </w:rPr>
      </w:pPr>
      <w:r w:rsidRPr="00B10BFB">
        <w:rPr>
          <w:rFonts w:eastAsia="Calibri"/>
          <w:b/>
          <w:color w:val="000000" w:themeColor="text1"/>
          <w:sz w:val="22"/>
          <w:szCs w:val="22"/>
          <w:lang w:eastAsia="en-US"/>
        </w:rPr>
        <w:t>Klauzula informacyjna</w:t>
      </w:r>
    </w:p>
    <w:p w14:paraId="7CBEA9D5" w14:textId="6976FD63" w:rsidR="00700B9A" w:rsidRPr="00700B9A" w:rsidRDefault="00700B9A" w:rsidP="00F1068A">
      <w:pPr>
        <w:spacing w:after="120"/>
        <w:jc w:val="center"/>
        <w:rPr>
          <w:rFonts w:eastAsia="Calibri"/>
          <w:b/>
          <w:i/>
          <w:color w:val="000000" w:themeColor="text1"/>
          <w:sz w:val="22"/>
          <w:szCs w:val="22"/>
          <w:lang w:eastAsia="en-US"/>
        </w:rPr>
      </w:pPr>
      <w:r>
        <w:rPr>
          <w:rFonts w:eastAsia="Calibri"/>
          <w:b/>
          <w:i/>
          <w:color w:val="000000" w:themeColor="text1"/>
          <w:sz w:val="22"/>
          <w:szCs w:val="22"/>
          <w:lang w:eastAsia="en-US"/>
        </w:rPr>
        <w:t xml:space="preserve">do strony internetowej </w:t>
      </w:r>
    </w:p>
    <w:p w14:paraId="6EFB2221" w14:textId="77777777" w:rsidR="00F1068A" w:rsidRPr="00B10BFB" w:rsidRDefault="00F1068A" w:rsidP="00F1068A">
      <w:pPr>
        <w:spacing w:after="120"/>
        <w:jc w:val="both"/>
        <w:rPr>
          <w:rFonts w:eastAsia="Calibri"/>
          <w:color w:val="000000" w:themeColor="text1"/>
          <w:sz w:val="22"/>
          <w:szCs w:val="22"/>
          <w:lang w:eastAsia="en-US"/>
        </w:rPr>
      </w:pPr>
      <w:r w:rsidRPr="00B10BFB">
        <w:rPr>
          <w:rFonts w:eastAsia="Calibri"/>
          <w:color w:val="000000" w:themeColor="text1"/>
          <w:sz w:val="22"/>
          <w:szCs w:val="22"/>
          <w:lang w:eastAsia="en-US"/>
        </w:rPr>
        <w:t>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(Dz. U. UE. L. 2016. 119. 1) – dalej jako RODO, informujemy, że:</w:t>
      </w:r>
    </w:p>
    <w:p w14:paraId="33592D52" w14:textId="747DAD18" w:rsidR="00F1068A" w:rsidRPr="00106886" w:rsidRDefault="00106886" w:rsidP="00106886">
      <w:pPr>
        <w:pStyle w:val="Akapitzlist"/>
        <w:numPr>
          <w:ilvl w:val="0"/>
          <w:numId w:val="1"/>
        </w:numPr>
        <w:spacing w:line="256" w:lineRule="auto"/>
        <w:ind w:left="714" w:hanging="357"/>
        <w:jc w:val="both"/>
      </w:pPr>
      <w:r w:rsidRPr="00FC0349">
        <w:t xml:space="preserve">Administratorem danych osobowych jest: </w:t>
      </w:r>
      <w:r w:rsidRPr="00106886">
        <w:rPr>
          <w:b/>
        </w:rPr>
        <w:t xml:space="preserve">Harcerski Zespół Pieśni i Tańca „Dzieci Płocka” im. Druha Wacława </w:t>
      </w:r>
      <w:proofErr w:type="spellStart"/>
      <w:r w:rsidRPr="00106886">
        <w:rPr>
          <w:b/>
        </w:rPr>
        <w:t>Milke</w:t>
      </w:r>
      <w:proofErr w:type="spellEnd"/>
      <w:r w:rsidRPr="00FC0349">
        <w:t xml:space="preserve"> w Płocku, z siedzibą przy </w:t>
      </w:r>
      <w:r w:rsidR="000E6325">
        <w:t>Al. Jachowicza 34</w:t>
      </w:r>
      <w:bookmarkStart w:id="0" w:name="_GoBack"/>
      <w:bookmarkEnd w:id="0"/>
      <w:r>
        <w:t xml:space="preserve">, </w:t>
      </w:r>
      <w:r w:rsidR="000E6325">
        <w:t xml:space="preserve">                </w:t>
      </w:r>
      <w:r>
        <w:t xml:space="preserve">09-400 Płock, </w:t>
      </w:r>
      <w:r w:rsidRPr="00FC0349">
        <w:t xml:space="preserve"> tel. 24 262 31 45, e-mail: dzieciplocka@op.pl, reprezentowany przez dyrektora.</w:t>
      </w:r>
    </w:p>
    <w:p w14:paraId="237BE59C" w14:textId="77777777" w:rsidR="00106886" w:rsidRPr="00FC0349" w:rsidRDefault="00106886" w:rsidP="00106886">
      <w:pPr>
        <w:numPr>
          <w:ilvl w:val="0"/>
          <w:numId w:val="1"/>
        </w:numPr>
        <w:ind w:left="714" w:hanging="357"/>
        <w:jc w:val="both"/>
        <w:rPr>
          <w:rFonts w:eastAsia="Calibri"/>
        </w:rPr>
      </w:pPr>
      <w:r w:rsidRPr="00FC0349">
        <w:rPr>
          <w:rFonts w:eastAsia="Calibri"/>
        </w:rPr>
        <w:t xml:space="preserve">Dane kontaktowe Inspektora Ochrony Danych: </w:t>
      </w:r>
      <w:hyperlink r:id="rId5" w:history="1">
        <w:r w:rsidRPr="00FC0349">
          <w:rPr>
            <w:rFonts w:eastAsia="Calibri"/>
            <w:u w:val="single"/>
          </w:rPr>
          <w:t>iod@zjoplock.pl</w:t>
        </w:r>
      </w:hyperlink>
      <w:r w:rsidRPr="00FC0349">
        <w:rPr>
          <w:rFonts w:eastAsia="Calibri"/>
        </w:rPr>
        <w:t xml:space="preserve"> lub tel.24 367 89 33</w:t>
      </w:r>
    </w:p>
    <w:p w14:paraId="68710143" w14:textId="77777777" w:rsidR="00F1068A" w:rsidRPr="00B10BFB" w:rsidRDefault="00F1068A" w:rsidP="00106886">
      <w:pPr>
        <w:numPr>
          <w:ilvl w:val="0"/>
          <w:numId w:val="1"/>
        </w:numPr>
        <w:ind w:left="714" w:hanging="357"/>
        <w:jc w:val="both"/>
        <w:rPr>
          <w:color w:val="000000" w:themeColor="text1"/>
          <w:sz w:val="22"/>
          <w:szCs w:val="22"/>
        </w:rPr>
      </w:pPr>
      <w:r w:rsidRPr="00B10BFB">
        <w:rPr>
          <w:color w:val="000000" w:themeColor="text1"/>
          <w:sz w:val="22"/>
          <w:szCs w:val="22"/>
        </w:rPr>
        <w:t>Dane osobowe przetwarzane będą w celu komunikacji z użytkownikami strony w ramach prowadzonej przez nas działalności publicznej oraz treści przez nas udostępnionych</w:t>
      </w:r>
      <w:r w:rsidR="00B10BFB" w:rsidRPr="00B10BFB">
        <w:rPr>
          <w:color w:val="000000" w:themeColor="text1"/>
          <w:sz w:val="22"/>
          <w:szCs w:val="22"/>
        </w:rPr>
        <w:t xml:space="preserve">, jak </w:t>
      </w:r>
      <w:r w:rsidR="004C73DC" w:rsidRPr="00B10BFB">
        <w:rPr>
          <w:color w:val="000000" w:themeColor="text1"/>
          <w:sz w:val="22"/>
          <w:szCs w:val="22"/>
        </w:rPr>
        <w:t>też</w:t>
      </w:r>
      <w:r w:rsidRPr="00B10BFB">
        <w:rPr>
          <w:color w:val="000000" w:themeColor="text1"/>
          <w:sz w:val="22"/>
          <w:szCs w:val="22"/>
        </w:rPr>
        <w:t xml:space="preserve"> w celu udzielenia odpowiedzi na pytanie (zawarte w formularzu kontaktowym), jeśli zajdzie taka konieczność. </w:t>
      </w:r>
    </w:p>
    <w:p w14:paraId="524A570F" w14:textId="77777777" w:rsidR="00F1068A" w:rsidRPr="00B10BFB" w:rsidRDefault="00F1068A" w:rsidP="00106886">
      <w:pPr>
        <w:numPr>
          <w:ilvl w:val="0"/>
          <w:numId w:val="1"/>
        </w:numPr>
        <w:ind w:left="714" w:hanging="357"/>
        <w:jc w:val="both"/>
        <w:rPr>
          <w:color w:val="000000" w:themeColor="text1"/>
          <w:sz w:val="22"/>
          <w:szCs w:val="22"/>
        </w:rPr>
      </w:pPr>
      <w:r w:rsidRPr="00B10BFB">
        <w:rPr>
          <w:rFonts w:eastAsia="Calibri"/>
          <w:color w:val="000000" w:themeColor="text1"/>
          <w:sz w:val="22"/>
          <w:szCs w:val="22"/>
          <w:lang w:eastAsia="en-US"/>
        </w:rPr>
        <w:t xml:space="preserve">Podstawą przetwarzania danych osobowych użytkownika strony jest art. 6 ust. 1 lit. f RODO </w:t>
      </w:r>
      <w:r w:rsidRPr="00B10BFB">
        <w:rPr>
          <w:rFonts w:eastAsia="Calibri"/>
          <w:i/>
          <w:color w:val="000000" w:themeColor="text1"/>
          <w:sz w:val="22"/>
          <w:szCs w:val="22"/>
          <w:lang w:eastAsia="en-US"/>
        </w:rPr>
        <w:t>(prawnie uzasadniony interes administratora w postaci</w:t>
      </w:r>
      <w:r w:rsidR="004C73DC" w:rsidRPr="00B10BFB">
        <w:rPr>
          <w:rFonts w:eastAsia="Calibri"/>
          <w:i/>
          <w:color w:val="000000" w:themeColor="text1"/>
          <w:sz w:val="22"/>
          <w:szCs w:val="22"/>
          <w:lang w:eastAsia="en-US"/>
        </w:rPr>
        <w:t xml:space="preserve"> komunikacji z użytkownikami strony)</w:t>
      </w:r>
      <w:r w:rsidRPr="00B10BFB">
        <w:rPr>
          <w:rFonts w:eastAsia="Calibri"/>
          <w:color w:val="000000" w:themeColor="text1"/>
          <w:sz w:val="22"/>
          <w:szCs w:val="22"/>
          <w:lang w:eastAsia="en-US"/>
        </w:rPr>
        <w:t>.</w:t>
      </w:r>
    </w:p>
    <w:p w14:paraId="08FAADA0" w14:textId="77777777" w:rsidR="004C73DC" w:rsidRPr="00B10BFB" w:rsidRDefault="00F1068A" w:rsidP="00106886">
      <w:pPr>
        <w:numPr>
          <w:ilvl w:val="0"/>
          <w:numId w:val="1"/>
        </w:numPr>
        <w:ind w:left="714" w:hanging="357"/>
        <w:jc w:val="both"/>
        <w:rPr>
          <w:sz w:val="22"/>
          <w:szCs w:val="22"/>
        </w:rPr>
      </w:pPr>
      <w:r w:rsidRPr="00B10BFB">
        <w:rPr>
          <w:color w:val="000000" w:themeColor="text1"/>
          <w:sz w:val="22"/>
          <w:szCs w:val="22"/>
        </w:rPr>
        <w:t>Podanie d</w:t>
      </w:r>
      <w:r w:rsidR="004C73DC" w:rsidRPr="00B10BFB">
        <w:rPr>
          <w:color w:val="000000" w:themeColor="text1"/>
          <w:sz w:val="22"/>
          <w:szCs w:val="22"/>
        </w:rPr>
        <w:t>anych osobowych jest dobrowolne,</w:t>
      </w:r>
      <w:r w:rsidRPr="00B10BFB">
        <w:rPr>
          <w:color w:val="000000" w:themeColor="text1"/>
          <w:sz w:val="22"/>
          <w:szCs w:val="22"/>
        </w:rPr>
        <w:t xml:space="preserve"> </w:t>
      </w:r>
      <w:r w:rsidR="004C73DC" w:rsidRPr="00B10BFB">
        <w:rPr>
          <w:color w:val="000000" w:themeColor="text1"/>
          <w:sz w:val="22"/>
          <w:szCs w:val="22"/>
        </w:rPr>
        <w:t xml:space="preserve">ale </w:t>
      </w:r>
      <w:r w:rsidR="004C73DC" w:rsidRPr="00B10BFB">
        <w:rPr>
          <w:sz w:val="22"/>
          <w:szCs w:val="22"/>
        </w:rPr>
        <w:t>konie</w:t>
      </w:r>
      <w:r w:rsidR="00B10BFB" w:rsidRPr="00B10BFB">
        <w:rPr>
          <w:sz w:val="22"/>
          <w:szCs w:val="22"/>
        </w:rPr>
        <w:t>czne do realizacji celu przetwarzania wskazanego w pkt 3</w:t>
      </w:r>
      <w:r w:rsidR="004C73DC" w:rsidRPr="00B10BFB">
        <w:rPr>
          <w:sz w:val="22"/>
          <w:szCs w:val="22"/>
        </w:rPr>
        <w:t>.</w:t>
      </w:r>
      <w:r w:rsidR="004C73DC" w:rsidRPr="00B10BFB">
        <w:rPr>
          <w:color w:val="FF0000"/>
          <w:sz w:val="22"/>
          <w:szCs w:val="22"/>
        </w:rPr>
        <w:t xml:space="preserve"> </w:t>
      </w:r>
    </w:p>
    <w:p w14:paraId="13E37811" w14:textId="77777777" w:rsidR="00F1068A" w:rsidRPr="00B10BFB" w:rsidRDefault="00F1068A" w:rsidP="00106886">
      <w:pPr>
        <w:numPr>
          <w:ilvl w:val="0"/>
          <w:numId w:val="1"/>
        </w:numPr>
        <w:ind w:left="714" w:hanging="357"/>
        <w:jc w:val="both"/>
        <w:rPr>
          <w:color w:val="000000" w:themeColor="text1"/>
          <w:sz w:val="22"/>
          <w:szCs w:val="22"/>
        </w:rPr>
      </w:pPr>
      <w:r w:rsidRPr="00B10BFB">
        <w:rPr>
          <w:color w:val="000000" w:themeColor="text1"/>
          <w:sz w:val="22"/>
          <w:szCs w:val="22"/>
        </w:rPr>
        <w:t xml:space="preserve">Odbiorcami danych osobowych będą podmioty do tego uprawnione na podstawie przepisów prawa, bądź w związku z koniecznością wypełnienia obowiązku prawnego na nich ciążącego. Administrator może również udostępniać dane osobowe podmiotom realizującym cele Administratora na podstawie jego polecenia oraz zawartych umów powierzenia przetwarzania danych osobowych, np. dostawcom usług teleinformatycznych (hosting, dostarczanie lub utrzymanie systemów informatycznych), dostawcom usług księgowych, prawnych </w:t>
      </w:r>
      <w:r w:rsidR="00B10BFB">
        <w:rPr>
          <w:color w:val="000000" w:themeColor="text1"/>
          <w:sz w:val="22"/>
          <w:szCs w:val="22"/>
        </w:rPr>
        <w:br/>
      </w:r>
      <w:r w:rsidRPr="00B10BFB">
        <w:rPr>
          <w:color w:val="000000" w:themeColor="text1"/>
          <w:sz w:val="22"/>
          <w:szCs w:val="22"/>
        </w:rPr>
        <w:t xml:space="preserve">i doradczych. </w:t>
      </w:r>
    </w:p>
    <w:p w14:paraId="1881ECB6" w14:textId="77777777" w:rsidR="004C73DC" w:rsidRPr="00B10BFB" w:rsidRDefault="004C73DC" w:rsidP="00890A7E">
      <w:pPr>
        <w:numPr>
          <w:ilvl w:val="0"/>
          <w:numId w:val="1"/>
        </w:numPr>
        <w:spacing w:after="120"/>
        <w:jc w:val="both"/>
        <w:rPr>
          <w:rFonts w:eastAsia="Calibri"/>
          <w:color w:val="FF0000"/>
          <w:sz w:val="22"/>
          <w:szCs w:val="22"/>
          <w:lang w:eastAsia="en-US"/>
        </w:rPr>
      </w:pPr>
      <w:r w:rsidRPr="00B10BFB">
        <w:rPr>
          <w:sz w:val="22"/>
          <w:szCs w:val="22"/>
        </w:rPr>
        <w:t xml:space="preserve">Pani/Pana dane będą przetwarzane nie dłużej, niż jest to konieczne do udzielenia odpowiedzi, </w:t>
      </w:r>
      <w:r w:rsidR="00B10BFB">
        <w:rPr>
          <w:sz w:val="22"/>
          <w:szCs w:val="22"/>
        </w:rPr>
        <w:br/>
      </w:r>
      <w:r w:rsidRPr="00B10BFB">
        <w:rPr>
          <w:sz w:val="22"/>
          <w:szCs w:val="22"/>
        </w:rPr>
        <w:t>a po tym czasie mogą być przetwarzane przez okres przedawnienia ewentualnych roszczeń</w:t>
      </w:r>
      <w:r w:rsidR="00B10BFB" w:rsidRPr="00B10BFB">
        <w:rPr>
          <w:sz w:val="22"/>
          <w:szCs w:val="22"/>
        </w:rPr>
        <w:t xml:space="preserve"> zgodnie z obowiązującym w szkole/placówce Jednolitym Rzeczowym Wykazem Akt</w:t>
      </w:r>
      <w:r w:rsidRPr="00B10BFB">
        <w:rPr>
          <w:sz w:val="22"/>
          <w:szCs w:val="22"/>
        </w:rPr>
        <w:t>.</w:t>
      </w:r>
    </w:p>
    <w:p w14:paraId="4B62AF00" w14:textId="77777777" w:rsidR="00F1068A" w:rsidRPr="00B10BFB" w:rsidRDefault="00F1068A" w:rsidP="00890A7E">
      <w:pPr>
        <w:numPr>
          <w:ilvl w:val="0"/>
          <w:numId w:val="1"/>
        </w:numPr>
        <w:spacing w:after="120"/>
        <w:jc w:val="both"/>
        <w:rPr>
          <w:rFonts w:eastAsia="Calibri"/>
          <w:color w:val="000000" w:themeColor="text1"/>
          <w:sz w:val="22"/>
          <w:szCs w:val="22"/>
          <w:lang w:eastAsia="en-US"/>
        </w:rPr>
      </w:pPr>
      <w:r w:rsidRPr="00B10BFB">
        <w:rPr>
          <w:rFonts w:eastAsia="Calibri"/>
          <w:color w:val="000000" w:themeColor="text1"/>
          <w:sz w:val="22"/>
          <w:szCs w:val="22"/>
          <w:lang w:eastAsia="en-US"/>
        </w:rPr>
        <w:t>Dane osobowe nie będą podlegały zautomatyzowanemu podejmowaniu decyzji, w tym profilowaniu.</w:t>
      </w:r>
    </w:p>
    <w:p w14:paraId="23E06546" w14:textId="77777777" w:rsidR="00F1068A" w:rsidRPr="00B10BFB" w:rsidRDefault="00F1068A" w:rsidP="00F1068A">
      <w:pPr>
        <w:numPr>
          <w:ilvl w:val="0"/>
          <w:numId w:val="1"/>
        </w:numPr>
        <w:spacing w:after="120"/>
        <w:jc w:val="both"/>
        <w:rPr>
          <w:rFonts w:eastAsia="Calibri"/>
          <w:color w:val="000000" w:themeColor="text1"/>
          <w:sz w:val="22"/>
          <w:szCs w:val="22"/>
          <w:lang w:eastAsia="en-US"/>
        </w:rPr>
      </w:pPr>
      <w:r w:rsidRPr="00B10BFB">
        <w:rPr>
          <w:rFonts w:eastAsia="Calibri"/>
          <w:color w:val="000000" w:themeColor="text1"/>
          <w:sz w:val="22"/>
          <w:szCs w:val="22"/>
          <w:lang w:eastAsia="en-US"/>
        </w:rPr>
        <w:t>Dane osobowe nie będą przekazywane do państw trzecich ani organizacji międzynarodowych.</w:t>
      </w:r>
    </w:p>
    <w:p w14:paraId="7299F2D6" w14:textId="77777777" w:rsidR="00F1068A" w:rsidRPr="00B10BFB" w:rsidRDefault="00F1068A" w:rsidP="00F1068A">
      <w:pPr>
        <w:numPr>
          <w:ilvl w:val="0"/>
          <w:numId w:val="1"/>
        </w:numPr>
        <w:spacing w:after="120"/>
        <w:ind w:left="714" w:hanging="357"/>
        <w:jc w:val="both"/>
        <w:rPr>
          <w:rFonts w:eastAsia="Calibri"/>
          <w:color w:val="000000" w:themeColor="text1"/>
          <w:sz w:val="22"/>
          <w:szCs w:val="22"/>
          <w:lang w:eastAsia="en-US"/>
        </w:rPr>
      </w:pPr>
      <w:r w:rsidRPr="00B10BFB">
        <w:rPr>
          <w:rFonts w:eastAsia="Calibri"/>
          <w:color w:val="000000" w:themeColor="text1"/>
          <w:sz w:val="22"/>
          <w:szCs w:val="22"/>
          <w:lang w:eastAsia="en-US"/>
        </w:rPr>
        <w:t xml:space="preserve">Pani/Pana prawa w związku z przetwarzaniem danych osobowych: </w:t>
      </w:r>
    </w:p>
    <w:p w14:paraId="1705F5BA" w14:textId="77777777" w:rsidR="00F1068A" w:rsidRPr="00B10BFB" w:rsidRDefault="00F1068A" w:rsidP="00B10BFB">
      <w:pPr>
        <w:pStyle w:val="Akapitzlist"/>
        <w:numPr>
          <w:ilvl w:val="0"/>
          <w:numId w:val="2"/>
        </w:numPr>
        <w:spacing w:line="259" w:lineRule="auto"/>
        <w:ind w:left="714" w:hanging="357"/>
        <w:contextualSpacing w:val="0"/>
        <w:jc w:val="both"/>
        <w:rPr>
          <w:color w:val="000000" w:themeColor="text1"/>
          <w:sz w:val="22"/>
          <w:szCs w:val="22"/>
        </w:rPr>
      </w:pPr>
      <w:r w:rsidRPr="00B10BFB">
        <w:rPr>
          <w:color w:val="000000" w:themeColor="text1"/>
          <w:sz w:val="22"/>
          <w:szCs w:val="22"/>
        </w:rPr>
        <w:t xml:space="preserve">prawo dostępu do swoich danych oraz uzyskania kopii swoich danych, </w:t>
      </w:r>
    </w:p>
    <w:p w14:paraId="5AB0AF52" w14:textId="77777777" w:rsidR="004C73DC" w:rsidRPr="00B10BFB" w:rsidRDefault="00F1068A" w:rsidP="00B10BFB">
      <w:pPr>
        <w:pStyle w:val="Akapitzlist"/>
        <w:numPr>
          <w:ilvl w:val="0"/>
          <w:numId w:val="2"/>
        </w:numPr>
        <w:spacing w:line="259" w:lineRule="auto"/>
        <w:ind w:left="714" w:hanging="357"/>
        <w:contextualSpacing w:val="0"/>
        <w:jc w:val="both"/>
        <w:rPr>
          <w:color w:val="000000" w:themeColor="text1"/>
          <w:sz w:val="22"/>
          <w:szCs w:val="22"/>
        </w:rPr>
      </w:pPr>
      <w:r w:rsidRPr="00B10BFB">
        <w:rPr>
          <w:color w:val="000000" w:themeColor="text1"/>
          <w:sz w:val="22"/>
          <w:szCs w:val="22"/>
        </w:rPr>
        <w:t>prawo do sprostowania danych,</w:t>
      </w:r>
    </w:p>
    <w:p w14:paraId="4742B2F5" w14:textId="77777777" w:rsidR="00F1068A" w:rsidRPr="00B10BFB" w:rsidRDefault="004C73DC" w:rsidP="00B10BFB">
      <w:pPr>
        <w:pStyle w:val="Akapitzlist"/>
        <w:numPr>
          <w:ilvl w:val="0"/>
          <w:numId w:val="2"/>
        </w:numPr>
        <w:spacing w:line="259" w:lineRule="auto"/>
        <w:ind w:left="714" w:hanging="357"/>
        <w:contextualSpacing w:val="0"/>
        <w:jc w:val="both"/>
        <w:rPr>
          <w:color w:val="000000" w:themeColor="text1"/>
          <w:sz w:val="22"/>
          <w:szCs w:val="22"/>
        </w:rPr>
      </w:pPr>
      <w:r w:rsidRPr="00B10BFB">
        <w:rPr>
          <w:color w:val="000000" w:themeColor="text1"/>
          <w:sz w:val="22"/>
          <w:szCs w:val="22"/>
        </w:rPr>
        <w:t>prawo usunięcia danych,</w:t>
      </w:r>
      <w:r w:rsidR="00F1068A" w:rsidRPr="00B10BFB">
        <w:rPr>
          <w:color w:val="000000" w:themeColor="text1"/>
          <w:sz w:val="22"/>
          <w:szCs w:val="22"/>
        </w:rPr>
        <w:t xml:space="preserve"> </w:t>
      </w:r>
    </w:p>
    <w:p w14:paraId="64D8367F" w14:textId="77777777" w:rsidR="00B10BFB" w:rsidRPr="00B10BFB" w:rsidRDefault="00F1068A" w:rsidP="00B10BFB">
      <w:pPr>
        <w:pStyle w:val="Akapitzlist"/>
        <w:numPr>
          <w:ilvl w:val="0"/>
          <w:numId w:val="2"/>
        </w:numPr>
        <w:spacing w:line="259" w:lineRule="auto"/>
        <w:ind w:left="714" w:hanging="357"/>
        <w:contextualSpacing w:val="0"/>
        <w:jc w:val="both"/>
        <w:rPr>
          <w:color w:val="000000" w:themeColor="text1"/>
          <w:sz w:val="22"/>
          <w:szCs w:val="22"/>
        </w:rPr>
      </w:pPr>
      <w:r w:rsidRPr="00B10BFB">
        <w:rPr>
          <w:color w:val="000000" w:themeColor="text1"/>
          <w:sz w:val="22"/>
          <w:szCs w:val="22"/>
        </w:rPr>
        <w:t>prawo do ograniczenia przetwarzania</w:t>
      </w:r>
      <w:r w:rsidR="00B10BFB" w:rsidRPr="00B10BFB">
        <w:rPr>
          <w:color w:val="000000" w:themeColor="text1"/>
          <w:sz w:val="22"/>
          <w:szCs w:val="22"/>
        </w:rPr>
        <w:t>,</w:t>
      </w:r>
    </w:p>
    <w:p w14:paraId="55AF89A4" w14:textId="77777777" w:rsidR="00B10BFB" w:rsidRPr="00B10BFB" w:rsidRDefault="00B10BFB" w:rsidP="00B10BFB">
      <w:pPr>
        <w:pStyle w:val="Akapitzlist"/>
        <w:numPr>
          <w:ilvl w:val="0"/>
          <w:numId w:val="2"/>
        </w:numPr>
        <w:spacing w:line="259" w:lineRule="auto"/>
        <w:ind w:left="714" w:hanging="357"/>
        <w:contextualSpacing w:val="0"/>
        <w:jc w:val="both"/>
        <w:rPr>
          <w:color w:val="000000" w:themeColor="text1"/>
          <w:sz w:val="22"/>
          <w:szCs w:val="22"/>
        </w:rPr>
      </w:pPr>
      <w:r w:rsidRPr="00B10BFB">
        <w:rPr>
          <w:color w:val="000000" w:themeColor="text1"/>
          <w:sz w:val="22"/>
          <w:szCs w:val="22"/>
        </w:rPr>
        <w:t>prawo do przenoszenia danych,</w:t>
      </w:r>
    </w:p>
    <w:p w14:paraId="4A403ACF" w14:textId="77777777" w:rsidR="00F1068A" w:rsidRPr="00B10BFB" w:rsidRDefault="00B10BFB" w:rsidP="00B10BFB">
      <w:pPr>
        <w:pStyle w:val="Akapitzlist"/>
        <w:numPr>
          <w:ilvl w:val="0"/>
          <w:numId w:val="2"/>
        </w:numPr>
        <w:spacing w:after="120" w:line="259" w:lineRule="auto"/>
        <w:ind w:left="714" w:hanging="357"/>
        <w:contextualSpacing w:val="0"/>
        <w:jc w:val="both"/>
        <w:rPr>
          <w:color w:val="000000" w:themeColor="text1"/>
          <w:sz w:val="22"/>
          <w:szCs w:val="22"/>
        </w:rPr>
      </w:pPr>
      <w:r w:rsidRPr="00B10BFB">
        <w:rPr>
          <w:color w:val="000000" w:themeColor="text1"/>
          <w:sz w:val="22"/>
          <w:szCs w:val="22"/>
        </w:rPr>
        <w:t>prawo do wniesienia sprzeciwu wobec przetwarzania</w:t>
      </w:r>
      <w:r w:rsidR="00F1068A" w:rsidRPr="00B10BFB">
        <w:rPr>
          <w:color w:val="000000" w:themeColor="text1"/>
          <w:sz w:val="22"/>
          <w:szCs w:val="22"/>
        </w:rPr>
        <w:t>.</w:t>
      </w:r>
    </w:p>
    <w:p w14:paraId="1D1CF610" w14:textId="77777777" w:rsidR="00F1068A" w:rsidRPr="00B10BFB" w:rsidRDefault="00F1068A" w:rsidP="00F1068A">
      <w:pPr>
        <w:numPr>
          <w:ilvl w:val="0"/>
          <w:numId w:val="1"/>
        </w:numPr>
        <w:spacing w:after="120"/>
        <w:jc w:val="both"/>
        <w:rPr>
          <w:rFonts w:eastAsia="Calibri"/>
          <w:color w:val="000000" w:themeColor="text1"/>
          <w:sz w:val="22"/>
          <w:szCs w:val="22"/>
          <w:lang w:eastAsia="en-US"/>
        </w:rPr>
      </w:pPr>
      <w:r w:rsidRPr="00B10BFB">
        <w:rPr>
          <w:rFonts w:eastAsia="Calibri"/>
          <w:color w:val="000000" w:themeColor="text1"/>
          <w:sz w:val="22"/>
          <w:szCs w:val="22"/>
          <w:lang w:eastAsia="en-US"/>
        </w:rPr>
        <w:t xml:space="preserve">Ma Pani/Pan prawo do złożenia skargi do Prezesa Urzędu Ochrony Danych Osobowych (ul. Stawki 2, 00-193 Warszawa), jeśli uzna Pani/Pan, że dane są przetwarzane niezgodnie </w:t>
      </w:r>
      <w:r w:rsidRPr="00B10BFB">
        <w:rPr>
          <w:rFonts w:eastAsia="Calibri"/>
          <w:color w:val="000000" w:themeColor="text1"/>
          <w:sz w:val="22"/>
          <w:szCs w:val="22"/>
          <w:lang w:eastAsia="en-US"/>
        </w:rPr>
        <w:br/>
        <w:t>z prawem.</w:t>
      </w:r>
    </w:p>
    <w:p w14:paraId="7B1875A3" w14:textId="77777777" w:rsidR="00444F27" w:rsidRDefault="001452C4">
      <w:r>
        <w:br/>
      </w:r>
    </w:p>
    <w:sectPr w:rsidR="00444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A7CE4"/>
    <w:multiLevelType w:val="hybridMultilevel"/>
    <w:tmpl w:val="69B019BC"/>
    <w:lvl w:ilvl="0" w:tplc="8738F944">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A253C3A"/>
    <w:multiLevelType w:val="hybridMultilevel"/>
    <w:tmpl w:val="2C181D42"/>
    <w:lvl w:ilvl="0" w:tplc="E9EA5AB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E10172"/>
    <w:multiLevelType w:val="hybridMultilevel"/>
    <w:tmpl w:val="1088B1B0"/>
    <w:lvl w:ilvl="0" w:tplc="44FA9752">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21"/>
    <w:rsid w:val="000E6325"/>
    <w:rsid w:val="00106886"/>
    <w:rsid w:val="001452C4"/>
    <w:rsid w:val="001D1B21"/>
    <w:rsid w:val="00444F27"/>
    <w:rsid w:val="004C73DC"/>
    <w:rsid w:val="00700B9A"/>
    <w:rsid w:val="00B10BFB"/>
    <w:rsid w:val="00E413EB"/>
    <w:rsid w:val="00F10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B453"/>
  <w15:chartTrackingRefBased/>
  <w15:docId w15:val="{50C93CF0-02A5-4246-95EB-0275C7A6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68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F1068A"/>
    <w:pPr>
      <w:ind w:left="720"/>
      <w:contextualSpacing/>
    </w:pPr>
  </w:style>
  <w:style w:type="character" w:styleId="Odwoaniedokomentarza">
    <w:name w:val="annotation reference"/>
    <w:basedOn w:val="Domylnaczcionkaakapitu"/>
    <w:uiPriority w:val="99"/>
    <w:semiHidden/>
    <w:unhideWhenUsed/>
    <w:rsid w:val="00F1068A"/>
    <w:rPr>
      <w:sz w:val="16"/>
      <w:szCs w:val="16"/>
    </w:rPr>
  </w:style>
  <w:style w:type="paragraph" w:styleId="Tekstkomentarza">
    <w:name w:val="annotation text"/>
    <w:basedOn w:val="Normalny"/>
    <w:link w:val="TekstkomentarzaZnak"/>
    <w:uiPriority w:val="99"/>
    <w:semiHidden/>
    <w:unhideWhenUsed/>
    <w:rsid w:val="00F1068A"/>
    <w:rPr>
      <w:sz w:val="20"/>
      <w:szCs w:val="20"/>
    </w:rPr>
  </w:style>
  <w:style w:type="character" w:customStyle="1" w:styleId="TekstkomentarzaZnak">
    <w:name w:val="Tekst komentarza Znak"/>
    <w:basedOn w:val="Domylnaczcionkaakapitu"/>
    <w:link w:val="Tekstkomentarza"/>
    <w:uiPriority w:val="99"/>
    <w:semiHidden/>
    <w:rsid w:val="00F1068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1068A"/>
    <w:rPr>
      <w:b/>
      <w:bCs/>
    </w:rPr>
  </w:style>
  <w:style w:type="character" w:customStyle="1" w:styleId="TematkomentarzaZnak">
    <w:name w:val="Temat komentarza Znak"/>
    <w:basedOn w:val="TekstkomentarzaZnak"/>
    <w:link w:val="Tematkomentarza"/>
    <w:uiPriority w:val="99"/>
    <w:semiHidden/>
    <w:rsid w:val="00F1068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106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68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joploc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399</Words>
  <Characters>2398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elzbieta.wituska</dc:creator>
  <cp:keywords/>
  <dc:description/>
  <cp:lastModifiedBy>Harcerski Zespół Pieśni i Tańca Dzieci Płocka</cp:lastModifiedBy>
  <cp:revision>9</cp:revision>
  <dcterms:created xsi:type="dcterms:W3CDTF">2020-09-03T06:32:00Z</dcterms:created>
  <dcterms:modified xsi:type="dcterms:W3CDTF">2021-01-28T11:28:00Z</dcterms:modified>
</cp:coreProperties>
</file>